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596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Дело № 5-1669-2203/2024</w:t>
      </w:r>
    </w:p>
    <w:p w:rsidR="00830596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</w:t>
      </w:r>
    </w:p>
    <w:p w:rsidR="00830596">
      <w:pPr>
        <w:ind w:right="-2"/>
        <w:jc w:val="center"/>
        <w:rPr>
          <w:sz w:val="28"/>
          <w:szCs w:val="28"/>
        </w:rPr>
      </w:pPr>
    </w:p>
    <w:p w:rsidR="0083059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3059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0596">
      <w:pPr>
        <w:ind w:right="-2"/>
        <w:jc w:val="center"/>
        <w:rPr>
          <w:sz w:val="28"/>
          <w:szCs w:val="28"/>
        </w:rPr>
      </w:pPr>
    </w:p>
    <w:p w:rsidR="00830596">
      <w:pPr>
        <w:ind w:right="-2"/>
        <w:jc w:val="center"/>
        <w:rPr>
          <w:sz w:val="28"/>
          <w:szCs w:val="28"/>
        </w:rPr>
      </w:pPr>
    </w:p>
    <w:p w:rsidR="00830596">
      <w:pPr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 ноября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г.Нягань</w:t>
      </w:r>
      <w:r>
        <w:rPr>
          <w:color w:val="000000"/>
          <w:sz w:val="28"/>
          <w:szCs w:val="28"/>
        </w:rPr>
        <w:t xml:space="preserve">, ХМАО-Югра </w:t>
      </w:r>
    </w:p>
    <w:p w:rsidR="00830596">
      <w:pPr>
        <w:ind w:right="-2"/>
        <w:jc w:val="both"/>
        <w:rPr>
          <w:color w:val="000000"/>
          <w:sz w:val="28"/>
          <w:szCs w:val="28"/>
        </w:rPr>
      </w:pP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</w:t>
      </w:r>
      <w:r>
        <w:rPr>
          <w:color w:val="000000"/>
          <w:sz w:val="28"/>
          <w:szCs w:val="28"/>
        </w:rPr>
        <w:t xml:space="preserve"> участка № 3 </w:t>
      </w:r>
      <w:r>
        <w:rPr>
          <w:color w:val="000000"/>
          <w:sz w:val="28"/>
          <w:szCs w:val="28"/>
        </w:rPr>
        <w:t>Няганского</w:t>
      </w:r>
      <w:r>
        <w:rPr>
          <w:color w:val="000000"/>
          <w:sz w:val="28"/>
          <w:szCs w:val="28"/>
        </w:rPr>
        <w:t xml:space="preserve"> судебного района Ханты-</w:t>
      </w:r>
      <w:r>
        <w:rPr>
          <w:sz w:val="28"/>
          <w:szCs w:val="28"/>
        </w:rPr>
        <w:t xml:space="preserve">Мансийского автономного округа – Югры Изюмцева Р.Р.,  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Солодухина С.А.,</w:t>
      </w:r>
    </w:p>
    <w:p w:rsidR="00830596">
      <w:pPr>
        <w:pStyle w:val="BodyText"/>
        <w:ind w:right="-2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дело об административно</w:t>
      </w:r>
      <w:r>
        <w:rPr>
          <w:sz w:val="28"/>
          <w:szCs w:val="28"/>
        </w:rPr>
        <w:t>м правонарушении</w:t>
      </w:r>
      <w:r>
        <w:rPr>
          <w:color w:val="000000"/>
          <w:sz w:val="28"/>
          <w:szCs w:val="28"/>
        </w:rPr>
        <w:t xml:space="preserve">, предусмотренном частью 1 статьи 12.8 Кодекса Российской Федерации об административных правонарушениях, в отношении </w:t>
      </w:r>
    </w:p>
    <w:p w:rsidR="00830596">
      <w:pPr>
        <w:pStyle w:val="BodyText"/>
        <w:ind w:right="-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Солодухина Сергея Алексеевича, - года рождения, уроженца *, гражданина РФ, военнообязанного, имеющего * образование, работ</w:t>
      </w:r>
      <w:r w:rsidR="00C10830">
        <w:rPr>
          <w:color w:val="000000"/>
          <w:sz w:val="28"/>
          <w:szCs w:val="28"/>
        </w:rPr>
        <w:t xml:space="preserve">ающего * в ООО «*», </w:t>
      </w:r>
      <w:r>
        <w:rPr>
          <w:color w:val="000000"/>
          <w:sz w:val="28"/>
          <w:szCs w:val="28"/>
        </w:rPr>
        <w:t>зарегистрированного и проживающего по адресу: ХМАО-Югра *, инвалидность не установлена, паспорт *,</w:t>
      </w:r>
    </w:p>
    <w:p w:rsidR="00830596">
      <w:pPr>
        <w:pStyle w:val="BodyText"/>
        <w:ind w:right="-2" w:firstLine="708"/>
        <w:rPr>
          <w:color w:val="000000"/>
          <w:sz w:val="28"/>
          <w:szCs w:val="28"/>
        </w:rPr>
      </w:pPr>
    </w:p>
    <w:p w:rsidR="00830596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830596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06.11.2024 в 21 час. 35 мин. на *</w:t>
      </w:r>
      <w:r>
        <w:rPr>
          <w:sz w:val="28"/>
          <w:szCs w:val="28"/>
        </w:rPr>
        <w:t xml:space="preserve"> ХМАО-Югры, Солодухин С.А., управлял транспортным средством *, государственный </w:t>
      </w:r>
      <w:r>
        <w:rPr>
          <w:sz w:val="28"/>
          <w:szCs w:val="28"/>
        </w:rPr>
        <w:t xml:space="preserve">регистрационный знак *, находясь в состоянии </w:t>
      </w:r>
      <w:r>
        <w:rPr>
          <w:color w:val="000000"/>
          <w:sz w:val="28"/>
          <w:szCs w:val="28"/>
        </w:rPr>
        <w:t>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830596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Лицо, в отношении которого ведётся производство по делу об админист</w:t>
      </w:r>
      <w:r>
        <w:rPr>
          <w:spacing w:val="-2"/>
          <w:sz w:val="28"/>
          <w:szCs w:val="28"/>
        </w:rPr>
        <w:t>ративном правонарушении, Солодухин С.А. в ходе рассмотрения дела правом на защиту не воспользовался, вину признал в полном объеме.</w:t>
      </w:r>
    </w:p>
    <w:p w:rsidR="00830596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Солодухина С.А., исследовав материалы дела, просмотрев видеозапись, мировой судья приходит к следующему. 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>
        <w:rPr>
          <w:sz w:val="28"/>
          <w:szCs w:val="28"/>
        </w:rPr>
        <w:t>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</w:t>
      </w:r>
      <w:r>
        <w:rPr>
          <w:sz w:val="28"/>
          <w:szCs w:val="28"/>
        </w:rPr>
        <w:t>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</w:t>
      </w:r>
      <w:r>
        <w:rPr>
          <w:sz w:val="28"/>
          <w:szCs w:val="28"/>
        </w:rPr>
        <w:t>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</w:t>
      </w:r>
      <w:r>
        <w:rPr>
          <w:sz w:val="28"/>
          <w:szCs w:val="28"/>
        </w:rPr>
        <w:t xml:space="preserve">ребления вызывающих алкогольное опьянение веществ, который определяется наличием </w:t>
      </w:r>
      <w:r>
        <w:rPr>
          <w:sz w:val="28"/>
          <w:szCs w:val="28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</w:t>
      </w:r>
      <w:r>
        <w:rPr>
          <w:sz w:val="28"/>
          <w:szCs w:val="28"/>
        </w:rPr>
        <w:t>личия наркотических средств или психотропных веществ в организме человека.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</w:t>
      </w:r>
      <w:r>
        <w:rPr>
          <w:sz w:val="28"/>
          <w:szCs w:val="28"/>
        </w:rPr>
        <w:t xml:space="preserve"> движения), участники дорожного движения обязаны знать и соблюдать относящиеся к ним требования Правил.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</w:t>
      </w:r>
      <w:r>
        <w:rPr>
          <w:sz w:val="28"/>
          <w:szCs w:val="28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правонарушении, предусмотренном статьей 12.8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</w:t>
      </w:r>
      <w:r>
        <w:rPr>
          <w:sz w:val="28"/>
          <w:szCs w:val="28"/>
        </w:rPr>
        <w:t>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</w:t>
      </w:r>
      <w:r>
        <w:rPr>
          <w:sz w:val="28"/>
          <w:szCs w:val="28"/>
        </w:rP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</w:t>
      </w:r>
      <w:r>
        <w:rPr>
          <w:sz w:val="28"/>
          <w:szCs w:val="28"/>
        </w:rPr>
        <w:t>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</w:t>
      </w:r>
      <w:r>
        <w:rPr>
          <w:sz w:val="28"/>
          <w:szCs w:val="28"/>
        </w:rPr>
        <w:t xml:space="preserve"> освидетельствованию на состояние алкогольного опьянения в соответствии с ч. 6 данной статьи.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</w:t>
      </w:r>
      <w:r>
        <w:rPr>
          <w:sz w:val="28"/>
          <w:szCs w:val="28"/>
        </w:rPr>
        <w:t>тельством Российской Федерации.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</w:t>
      </w:r>
      <w:r>
        <w:rPr>
          <w:sz w:val="28"/>
          <w:szCs w:val="28"/>
        </w:rPr>
        <w:t>вание на состояние опьянения (далее - Правила).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</w:t>
      </w:r>
      <w:r>
        <w:rPr>
          <w:sz w:val="28"/>
          <w:szCs w:val="28"/>
        </w:rPr>
        <w:t>изо рта; неустойчивость позы.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</w:t>
      </w:r>
      <w:r>
        <w:rPr>
          <w:sz w:val="28"/>
          <w:szCs w:val="28"/>
        </w:rPr>
        <w:t xml:space="preserve">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</w:t>
      </w:r>
      <w:r>
        <w:rPr>
          <w:sz w:val="28"/>
          <w:szCs w:val="28"/>
        </w:rPr>
        <w:t xml:space="preserve">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 xml:space="preserve"> водителя транспортного средства о порядке освидетельствования с</w:t>
      </w:r>
      <w:r>
        <w:rPr>
          <w:sz w:val="28"/>
          <w:szCs w:val="28"/>
        </w:rPr>
        <w:t xml:space="preserve">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r>
        <w:rPr>
          <w:sz w:val="28"/>
          <w:szCs w:val="28"/>
        </w:rPr>
        <w:t>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</w:t>
      </w:r>
      <w:r>
        <w:rPr>
          <w:sz w:val="28"/>
          <w:szCs w:val="28"/>
        </w:rPr>
        <w:t>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8305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</w:t>
      </w:r>
      <w:r>
        <w:rPr>
          <w:sz w:val="28"/>
          <w:szCs w:val="28"/>
        </w:rPr>
        <w:t>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830596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</w:t>
      </w:r>
      <w:r>
        <w:rPr>
          <w:sz w:val="28"/>
          <w:szCs w:val="28"/>
        </w:rPr>
        <w:t xml:space="preserve">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</w:t>
      </w:r>
      <w:r>
        <w:rPr>
          <w:sz w:val="28"/>
          <w:szCs w:val="28"/>
        </w:rPr>
        <w:t>измерений. Копия этого акта вручается водителю транспортного средства, в отношении которого он был составлен.</w:t>
      </w:r>
    </w:p>
    <w:p w:rsidR="0083059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установлено, что 06.11.2024 в * ХМАО-Югры, Солодухин С.А., управлял транспортным средством *, государственный регистрацио</w:t>
      </w:r>
      <w:r>
        <w:rPr>
          <w:color w:val="000000"/>
          <w:sz w:val="28"/>
          <w:szCs w:val="28"/>
        </w:rPr>
        <w:t xml:space="preserve">нный знак *,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 </w:t>
      </w:r>
    </w:p>
    <w:p w:rsidR="00830596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Вина Солодухина С.А. в совершении правонарушения, предусмотренного частью 1 с</w:t>
      </w:r>
      <w:r>
        <w:rPr>
          <w:color w:val="000000"/>
          <w:sz w:val="28"/>
          <w:szCs w:val="28"/>
        </w:rPr>
        <w:t>татьи 12.8 Кодекса Российской Федерации об административных правонарушениях, подтверждается исследованными материалами дела:</w:t>
      </w:r>
    </w:p>
    <w:p w:rsidR="00830596">
      <w:pPr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* об административном правонарушении от 06.11.2024, в котором указаны место, время и обстоятельства, совершенного </w:t>
      </w:r>
      <w:r>
        <w:rPr>
          <w:color w:val="000000"/>
          <w:sz w:val="28"/>
          <w:szCs w:val="28"/>
        </w:rPr>
        <w:t xml:space="preserve">Солодухиным С.А.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роцессуальные права, предусмотренные статьей 25.1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>статьей 51 Конституции Российской Федерации Солодухину С.А.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разъяснены, что подтверждается его подписями в соответствующих графах</w:t>
      </w:r>
      <w:r>
        <w:rPr>
          <w:color w:val="000000"/>
          <w:spacing w:val="-1"/>
          <w:sz w:val="28"/>
          <w:szCs w:val="28"/>
        </w:rPr>
        <w:t xml:space="preserve"> и зафиксировано видеозаписью;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* об отстранении от управления транспортным средством от 06.11.2024, где установлены основания, послужившие для отстранения Солодухина С.А. от управления транспортным средством, а именно: «наличие достаточных ос</w:t>
      </w:r>
      <w:r>
        <w:rPr>
          <w:color w:val="000000"/>
          <w:sz w:val="28"/>
          <w:szCs w:val="28"/>
        </w:rPr>
        <w:t xml:space="preserve">нований полагать, что лицо, которое управляет транспортным средством, находится в состоянии опьянения». </w:t>
      </w:r>
      <w:r>
        <w:rPr>
          <w:sz w:val="28"/>
          <w:szCs w:val="28"/>
        </w:rPr>
        <w:t xml:space="preserve">Отстранение Солодухина С.А. </w:t>
      </w:r>
      <w:r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</w:t>
      </w:r>
      <w:r>
        <w:rPr>
          <w:color w:val="000000"/>
          <w:sz w:val="28"/>
          <w:szCs w:val="28"/>
        </w:rPr>
        <w:t>видеофиксации</w:t>
      </w:r>
      <w:r>
        <w:rPr>
          <w:color w:val="000000"/>
          <w:sz w:val="28"/>
          <w:szCs w:val="28"/>
        </w:rPr>
        <w:t xml:space="preserve">; 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актом * освидетельствования на состояни</w:t>
      </w:r>
      <w:r>
        <w:rPr>
          <w:color w:val="000000"/>
          <w:sz w:val="28"/>
          <w:szCs w:val="28"/>
        </w:rPr>
        <w:t>е алкогольного опьянения от 06.11.2024, согласно которому основанием, что водитель Солодухин С.А. находится в состоянии опьянения, явилось: запах алкоголя изо рта; нарушение речи;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* о задержании транспортного средства от 06.11.2024, согласно </w:t>
      </w:r>
      <w:r>
        <w:rPr>
          <w:color w:val="000000"/>
          <w:sz w:val="28"/>
          <w:szCs w:val="28"/>
        </w:rPr>
        <w:t>которому транспортное средство оставлено по месту совершения административного правонарушения,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видеозаписью, на которой зафиксированы процессуальные действия,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реестром правонарушений на Солодухина С.А.</w:t>
      </w:r>
    </w:p>
    <w:p w:rsidR="00830596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Освидетельствование Солодухина С.А. на состояни</w:t>
      </w:r>
      <w:r>
        <w:rPr>
          <w:color w:val="000000"/>
          <w:sz w:val="28"/>
          <w:szCs w:val="28"/>
        </w:rPr>
        <w:t xml:space="preserve">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C1083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В ходе освидетельствования,</w:t>
      </w:r>
      <w:r>
        <w:rPr>
          <w:color w:val="000000"/>
        </w:rPr>
        <w:t xml:space="preserve"> проведенного 06.11.2024 в * было выявлено содержания алкоголя в выдыхаемом Солодухиным С.А. воздухе *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</w:t>
      </w:r>
      <w:r>
        <w:rPr>
          <w:color w:val="000000"/>
        </w:rPr>
        <w:t>ю, у Солодухина С.А.</w:t>
      </w:r>
      <w:r>
        <w:t xml:space="preserve"> было установлено состояние алкогольного опьянения. С результатами освидетельствования на состояние алкогольного опьянения Солодухин С.А. был согласен, о чем имеется соответствующая запись в акте освидетельствования. Заводской номер при</w:t>
      </w:r>
      <w:r>
        <w:t xml:space="preserve">бора, указанный в акте </w:t>
      </w:r>
      <w:r>
        <w:rPr>
          <w:color w:val="000000"/>
        </w:rPr>
        <w:t>освидетельствования на состояние алкогольного опьянения и в бумажном носителе идентичный *.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</w:t>
      </w:r>
      <w:r>
        <w:rPr>
          <w:color w:val="000000"/>
        </w:rPr>
        <w:t xml:space="preserve">бора, его заводской №, дата калибровки, дата и время освидетельствования, данные инспектора ГИБДД, его личный №, данные </w:t>
      </w:r>
      <w:r>
        <w:rPr>
          <w:color w:val="000000"/>
        </w:rPr>
        <w:t>транспортного средства, данные водителя, управлявшего им, результаты освидетельствования.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примечаниям к статье 12.8 Кодекса Рос</w:t>
      </w:r>
      <w:r>
        <w:rPr>
          <w:color w:val="000000"/>
        </w:rPr>
        <w:t>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</w:t>
      </w:r>
      <w:r>
        <w:rPr>
          <w:color w:val="000000"/>
        </w:rPr>
        <w:t xml:space="preserve">й статьей и </w:t>
      </w:r>
      <w:hyperlink r:id="rId5" w:anchor="/document/12125267/entry/122703" w:history="1">
        <w:r>
          <w:rPr>
            <w:rStyle w:val="Hyperlink"/>
            <w:color w:val="000000"/>
            <w:u w:val="none"/>
          </w:rPr>
          <w:t>частью 3 статьи 12.27</w:t>
        </w:r>
      </w:hyperlink>
      <w:r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</w:t>
      </w:r>
      <w:r>
        <w:rPr>
          <w:color w:val="000000"/>
        </w:rPr>
        <w:t>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</w:t>
      </w:r>
      <w:r>
        <w:rPr>
          <w:color w:val="000000"/>
        </w:rPr>
        <w:t>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карточки операции с водительским удостоверением, </w:t>
      </w:r>
      <w:r>
        <w:t xml:space="preserve">Солодухин С.А. </w:t>
      </w:r>
      <w:r>
        <w:rPr>
          <w:color w:val="000000"/>
        </w:rPr>
        <w:t xml:space="preserve">имеет право управления транспортными средствами </w:t>
      </w:r>
      <w:r>
        <w:rPr>
          <w:color w:val="000000"/>
        </w:rPr>
        <w:t xml:space="preserve">категории * водительское удостоверение действительно до 20.10.2030. </w:t>
      </w:r>
    </w:p>
    <w:p w:rsidR="00830596">
      <w:pPr>
        <w:pStyle w:val="22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>
        <w:t>справке начальника отделения по ИАЗ ГИБДД, Солодухин С.А. по состоянию на 06.11.2024 не является лицом, подвергнутым административному наказанию за управление транспортами средст</w:t>
      </w:r>
      <w:r>
        <w:t>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</w:t>
      </w:r>
      <w:r>
        <w:t>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Своими действиями Солодухин С.А. нарушил пункт 2.7 Правил дорожного движения Российской Федерации, запрещающий водителю управлять тра</w:t>
      </w:r>
      <w:r>
        <w:rPr>
          <w:color w:val="000000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Оценив представ</w:t>
      </w:r>
      <w:r>
        <w:rPr>
          <w:color w:val="000000"/>
        </w:rPr>
        <w:t xml:space="preserve">ленные доказательства в их совокупности, мировой судья приходит к выводу о том, что вина Солодухина С.А. в совершении правонарушения полностью доказана.  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Действия Солодухина С.А. мировой судья квалифицирует по части 1 статьи 12.8 Кодекса Российской Федера</w:t>
      </w:r>
      <w:r>
        <w:rPr>
          <w:color w:val="000000"/>
        </w:rPr>
        <w:t>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При назначении наказания судья учитывает характер и степень общественно</w:t>
      </w:r>
      <w:r>
        <w:rPr>
          <w:color w:val="000000"/>
        </w:rPr>
        <w:t>й опасности правонарушения, связанного с источником повышенной опасности.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Обстоятельством, смягчающим административную ответственность, по делу является признание Солодухиным С.А. своей вины.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Обстоятельств, отягчающих административную ответственность, миро</w:t>
      </w:r>
      <w:r>
        <w:rPr>
          <w:color w:val="000000"/>
        </w:rPr>
        <w:t>вым судьей не установлено.</w:t>
      </w:r>
    </w:p>
    <w:p w:rsidR="00830596">
      <w:pPr>
        <w:pStyle w:val="22"/>
        <w:ind w:right="-2" w:firstLine="708"/>
        <w:jc w:val="both"/>
        <w:rPr>
          <w:color w:val="000000"/>
        </w:rPr>
      </w:pPr>
      <w:r>
        <w:rPr>
          <w:color w:val="000000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rPr>
          <w:color w:val="000000"/>
        </w:rPr>
        <w:t>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30596">
      <w:pPr>
        <w:pStyle w:val="22"/>
        <w:ind w:right="-2" w:firstLine="708"/>
        <w:jc w:val="both"/>
        <w:rPr>
          <w:color w:val="000000"/>
        </w:rPr>
      </w:pPr>
      <w:r>
        <w:rPr>
          <w:color w:val="000000"/>
        </w:rPr>
        <w:t>При определении меры наказания, мировой судья учитывает характер совершенного адм</w:t>
      </w:r>
      <w:r>
        <w:rPr>
          <w:color w:val="000000"/>
        </w:rPr>
        <w:t>инистративного правонарушения, основываясь на принципах справедливости и соразмерности, полагает необходимым назначить Солодухину С.А. административное наказание в виде административного штрафа с лишением права управления транспортными средствами, что позв</w:t>
      </w:r>
      <w:r>
        <w:rPr>
          <w:color w:val="000000"/>
        </w:rPr>
        <w:t>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830596">
      <w:pPr>
        <w:pStyle w:val="22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руководствуясь частью 1 статьи 12.8, статьями 29.9, 29.10 Кодекса Российской Федерации об административн</w:t>
      </w:r>
      <w:r>
        <w:rPr>
          <w:color w:val="000000"/>
        </w:rPr>
        <w:t>ых правонарушениях, мировой судья</w:t>
      </w:r>
    </w:p>
    <w:p w:rsidR="00830596">
      <w:pPr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ПОСТАНОВИЛ: </w:t>
      </w:r>
    </w:p>
    <w:p w:rsidR="00830596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Солодухина Сергея Алексеевича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подвергнуть его </w:t>
      </w:r>
      <w:r>
        <w:rPr>
          <w:color w:val="000000"/>
          <w:sz w:val="28"/>
          <w:szCs w:val="28"/>
        </w:rPr>
        <w:t>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сроком на 1 (один) год 6 (шесть) месяцев.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Возложить исполнение постановления о назначении администрати</w:t>
      </w:r>
      <w:r>
        <w:rPr>
          <w:sz w:val="28"/>
          <w:szCs w:val="28"/>
        </w:rPr>
        <w:t xml:space="preserve">вного наказания в части лишения права управления транспортными средствами на ОГИБДД ОМВД России по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>.</w:t>
      </w:r>
    </w:p>
    <w:p w:rsidR="00830596">
      <w:pPr>
        <w:shd w:val="clear" w:color="auto" w:fill="FFFFFF"/>
        <w:ind w:right="-2" w:firstLine="692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</w:t>
      </w:r>
      <w:r>
        <w:rPr>
          <w:sz w:val="28"/>
          <w:szCs w:val="28"/>
        </w:rPr>
        <w:t xml:space="preserve">лучателя платежа 03100643000000018700, Банк получателя: РКЦ Ханты-Мансийск г. Ханты-Мансийск//УФК по Ханты-Мансийскому автономному округу-Югре г. Ханты-Мансийск, </w:t>
      </w:r>
      <w:r>
        <w:rPr>
          <w:sz w:val="28"/>
          <w:szCs w:val="28"/>
        </w:rPr>
        <w:t>кор.счет</w:t>
      </w:r>
      <w:r>
        <w:rPr>
          <w:sz w:val="28"/>
          <w:szCs w:val="28"/>
        </w:rPr>
        <w:t xml:space="preserve"> 40102810245370000007, КБК 18811601123010001140, БИК 007162163, ОКТМО 71879000, УИН 18</w:t>
      </w:r>
      <w:r>
        <w:rPr>
          <w:sz w:val="28"/>
          <w:szCs w:val="28"/>
        </w:rPr>
        <w:t>810486240550006141.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</w:t>
      </w:r>
      <w:r>
        <w:rPr>
          <w:sz w:val="28"/>
          <w:szCs w:val="28"/>
        </w:rPr>
        <w:t xml:space="preserve"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частями </w:t>
        </w:r>
        <w:r>
          <w:rPr>
            <w:rStyle w:val="Hyperlink"/>
            <w:color w:val="auto"/>
            <w:sz w:val="28"/>
            <w:szCs w:val="28"/>
            <w:u w:val="none"/>
          </w:rPr>
          <w:t>1.1</w:t>
        </w:r>
      </w:hyperlink>
      <w:r>
        <w:rPr>
          <w:sz w:val="28"/>
          <w:szCs w:val="28"/>
        </w:rPr>
        <w:t xml:space="preserve">, </w:t>
      </w:r>
      <w:hyperlink r:id="rId6" w:anchor="/document/12125267/entry/302013" w:history="1">
        <w:r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>
        <w:rPr>
          <w:sz w:val="28"/>
          <w:szCs w:val="28"/>
        </w:rPr>
        <w:t xml:space="preserve"> и </w:t>
      </w:r>
      <w:hyperlink r:id="rId6" w:anchor="/document/12125267/entry/302014" w:history="1">
        <w:r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КоАП РФ. В тот же срок должна быть предъявлена квитанция об</w:t>
      </w:r>
      <w:r>
        <w:rPr>
          <w:sz w:val="28"/>
          <w:szCs w:val="28"/>
        </w:rPr>
        <w:t xml:space="preserve"> уплате штрафа в канцелярию судебного участка №3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</w:t>
      </w:r>
      <w:r>
        <w:rPr>
          <w:sz w:val="28"/>
          <w:szCs w:val="28"/>
        </w:rPr>
        <w:t>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</w:t>
      </w:r>
      <w:r>
        <w:rPr>
          <w:sz w:val="28"/>
          <w:szCs w:val="28"/>
        </w:rPr>
        <w:t xml:space="preserve">отренном частью 1 </w:t>
      </w:r>
      <w:hyperlink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</w:t>
      </w:r>
      <w:r>
        <w:rPr>
          <w:sz w:val="28"/>
          <w:szCs w:val="28"/>
        </w:rPr>
        <w:t>рой предусмотрено в виде административного ареста сроком до 15 суток, либо обязательные работы сроком до 50 часов.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</w:t>
      </w:r>
      <w:r>
        <w:rPr>
          <w:sz w:val="28"/>
          <w:szCs w:val="28"/>
        </w:rPr>
        <w:t xml:space="preserve">специальные разрешения) на управление транспортным средством должны быть сданы в ОГИБДД ОМВД России по г.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утраты указанного документа заявить об этом в у</w:t>
      </w:r>
      <w:r>
        <w:rPr>
          <w:sz w:val="28"/>
          <w:szCs w:val="28"/>
        </w:rPr>
        <w:t>казанный орган в тот же срок.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>
        <w:rPr>
          <w:sz w:val="28"/>
          <w:szCs w:val="28"/>
        </w:rPr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 xml:space="preserve">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</w:t>
      </w:r>
      <w:r>
        <w:rPr>
          <w:sz w:val="28"/>
          <w:szCs w:val="28"/>
        </w:rPr>
        <w:t xml:space="preserve">влечет наложение административного штрафа в </w:t>
      </w:r>
      <w:r>
        <w:rPr>
          <w:sz w:val="28"/>
          <w:szCs w:val="28"/>
        </w:rPr>
        <w:t xml:space="preserve">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  <w:r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</w:t>
      </w:r>
      <w:r>
        <w:rPr>
          <w:sz w:val="28"/>
          <w:szCs w:val="28"/>
        </w:rPr>
        <w:t>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автомобилем либо другим механическим транспортным сред</w:t>
      </w:r>
      <w:r>
        <w:rPr>
          <w:sz w:val="28"/>
          <w:szCs w:val="28"/>
        </w:rPr>
        <w:t xml:space="preserve">ством лицом, находящимся в состоянии опьянения, подвергнутым административному наказанию за управление транспортным средством в </w:t>
      </w:r>
      <w:r>
        <w:rPr>
          <w:sz w:val="28"/>
          <w:szCs w:val="28"/>
        </w:rPr>
        <w:t>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</w:t>
      </w:r>
      <w:r>
        <w:rPr>
          <w:sz w:val="28"/>
          <w:szCs w:val="28"/>
        </w:rPr>
        <w:t>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830596">
      <w:pPr>
        <w:ind w:right="-2" w:firstLine="708"/>
        <w:jc w:val="both"/>
        <w:rPr>
          <w:sz w:val="28"/>
          <w:szCs w:val="28"/>
        </w:rPr>
      </w:pPr>
    </w:p>
    <w:p w:rsidR="00830596">
      <w:pPr>
        <w:ind w:right="-2" w:firstLine="708"/>
        <w:jc w:val="both"/>
        <w:rPr>
          <w:sz w:val="28"/>
          <w:szCs w:val="28"/>
        </w:rPr>
      </w:pPr>
    </w:p>
    <w:p w:rsidR="00830596">
      <w:pPr>
        <w:ind w:right="-2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10pt;height:10pt;margin-top:0;margin-left:0;mso-height-percent:0;mso-height-relative:page;mso-width-percent:0;mso-width-relative:page;mso-wrap-distance-bottom:0;mso-wrap-distance-left:9pt;mso-wrap-distance-right:9pt;mso-wrap-distance-top:0;position:absolute;z-index:251659264" coordsize="21600,21600" path="m,l21600,21600e" strokecolor="black" strokeweight="0.75pt">
                <v:stroke joinstyle="round" linestyle="single" filltype="solid"/>
              </v:shape>
            </w:pict>
          </mc:Fallback>
        </mc:AlternateContent>
      </w: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ab/>
        <w:t xml:space="preserve">     Р.Р. Изюмцева</w:t>
      </w:r>
    </w:p>
    <w:sectPr>
      <w:headerReference w:type="default" r:id="rId7"/>
      <w:footerReference w:type="even" r:id="rId8"/>
      <w:pgSz w:w="11906" w:h="16838"/>
      <w:pgMar w:top="1134" w:right="851" w:bottom="1134" w:left="1701" w:header="709" w:footer="4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596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83059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59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0830">
      <w:rPr>
        <w:noProof/>
      </w:rPr>
      <w:t>2</w:t>
    </w:r>
    <w:r>
      <w:fldChar w:fldCharType="end"/>
    </w:r>
  </w:p>
  <w:p w:rsidR="00830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77932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7C76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5120"/>
    <w:rsid w:val="00265A7C"/>
    <w:rsid w:val="002673D3"/>
    <w:rsid w:val="00270349"/>
    <w:rsid w:val="0027062D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496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5014E"/>
    <w:rsid w:val="006504CF"/>
    <w:rsid w:val="00650B93"/>
    <w:rsid w:val="006535E0"/>
    <w:rsid w:val="00653A46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0D67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1BE5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357"/>
    <w:rsid w:val="00754BD7"/>
    <w:rsid w:val="00754DC0"/>
    <w:rsid w:val="00756744"/>
    <w:rsid w:val="00757C09"/>
    <w:rsid w:val="007604D3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42B2"/>
    <w:rsid w:val="00806733"/>
    <w:rsid w:val="0080765E"/>
    <w:rsid w:val="00813A18"/>
    <w:rsid w:val="00822C4C"/>
    <w:rsid w:val="00823C78"/>
    <w:rsid w:val="00825F1F"/>
    <w:rsid w:val="00826BDA"/>
    <w:rsid w:val="00827455"/>
    <w:rsid w:val="00830596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0F92"/>
    <w:rsid w:val="00A42A98"/>
    <w:rsid w:val="00A45FE4"/>
    <w:rsid w:val="00A470EE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738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382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C6A09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0830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1C17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1A8E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1E7B"/>
    <w:rsid w:val="00EF33A8"/>
    <w:rsid w:val="00EF6FFD"/>
    <w:rsid w:val="00EF7071"/>
    <w:rsid w:val="00F00164"/>
    <w:rsid w:val="00F00A0D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2827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sz w:val="24"/>
      <w:szCs w:val="24"/>
    </w:rPr>
  </w:style>
  <w:style w:type="paragraph" w:styleId="Heading1">
    <w:name w:val="heading 1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2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link w:val="3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">
    <w:name w:val="Название Знак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link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a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1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styleId="FootnoteText">
    <w:name w:val="footnote text"/>
    <w:link w:val="a2"/>
    <w:uiPriority w:val="99"/>
    <w:semiHidden/>
    <w:unhideWhenUsed/>
  </w:style>
  <w:style w:type="character" w:customStyle="1" w:styleId="a2">
    <w:name w:val="Текст сноски Знак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link w:val="a4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4">
    <w:name w:val="Текст Знак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a7"/>
    <w:uiPriority w:val="99"/>
    <w:pPr>
      <w:jc w:val="both"/>
    </w:pPr>
    <w:rPr>
      <w:szCs w:val="20"/>
    </w:rPr>
  </w:style>
  <w:style w:type="paragraph" w:styleId="BodyTextIndent">
    <w:name w:val="Body Text Indent"/>
    <w:basedOn w:val="Normal"/>
    <w:link w:val="a5"/>
    <w:uiPriority w:val="99"/>
    <w:pPr>
      <w:spacing w:after="120"/>
      <w:ind w:left="283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a9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BodyTextIndent"/>
    <w:uiPriority w:val="99"/>
    <w:rPr>
      <w:sz w:val="24"/>
      <w:szCs w:val="24"/>
    </w:rPr>
  </w:style>
  <w:style w:type="character" w:customStyle="1" w:styleId="a6">
    <w:name w:val="Гипертекстовая ссылка"/>
    <w:uiPriority w:val="99"/>
    <w:rPr>
      <w:color w:val="106BBE"/>
    </w:rPr>
  </w:style>
  <w:style w:type="character" w:customStyle="1" w:styleId="a7">
    <w:name w:val="Основной текст Знак"/>
    <w:link w:val="BodyText"/>
    <w:uiPriority w:val="99"/>
    <w:rPr>
      <w:sz w:val="24"/>
    </w:rPr>
  </w:style>
  <w:style w:type="character" w:customStyle="1" w:styleId="21">
    <w:name w:val="Основной текст (2)_"/>
    <w:link w:val="22"/>
    <w:uiPriority w:val="9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</w:style>
  <w:style w:type="character" w:customStyle="1" w:styleId="Blk">
    <w:name w:val="Blk"/>
    <w:uiPriority w:val="99"/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Pr>
      <w:sz w:val="24"/>
      <w:szCs w:val="24"/>
    </w:rPr>
  </w:style>
  <w:style w:type="character" w:customStyle="1" w:styleId="a9">
    <w:name w:val="Нижний колонтитул Знак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DADC-6D45-46A9-82B5-CB0A5345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